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184784</wp:posOffset>
                </wp:positionV>
                <wp:extent cx="6515100" cy="1119505"/>
                <wp:effectExtent l="0" t="0" r="0" b="44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19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76DD" w:rsidRDefault="003C6C54" w:rsidP="003C6C54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  <w:r w:rsidRPr="003C6C54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The Art and Practice in Evaluation of Environmental Performance</w:t>
                            </w: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4.55pt;width:513pt;height:88.1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" filled="f" stroked="f" strokeweight=".5pt">
                <v:path arrowok="t"/>
                <v:textbox>
                  <w:txbxContent>
                    <w:p w:rsidR="000B76DD" w:rsidRDefault="003C6C54" w:rsidP="003C6C54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  <w:bookmarkStart w:id="1" w:name="_GoBack"/>
                      <w:r w:rsidRPr="003C6C54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The Art and Practice in Evaluation of Environmental Performance</w:t>
                      </w:r>
                    </w:p>
                    <w:bookmarkEnd w:id="1"/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116FE91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3A6E5B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D2263F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9DF64CF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1622" w:rsidRPr="00905FB2" w:rsidRDefault="003C6C54" w:rsidP="003C6C54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C6C54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The Art and Practice in Evaluation of Environmental Performance</w:t>
                            </w:r>
                          </w:p>
                          <w:p w:rsidR="008360A2" w:rsidRPr="00905FB2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B81622" w:rsidRPr="00905FB2" w:rsidRDefault="003C6C54" w:rsidP="003C6C54">
                      <w:pPr>
                        <w:jc w:val="center"/>
                        <w:rPr>
                          <w:rFonts w:eastAsia="Calibri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3C6C54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The Art and Practice in Evaluation of Environmental Performance</w:t>
                      </w:r>
                    </w:p>
                    <w:p w:rsidR="008360A2" w:rsidRPr="00905FB2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B2614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E543AC" w:rsidRPr="00E543AC" w:rsidRDefault="00E543AC" w:rsidP="00E543AC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543A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 Providing a better understanding of an organization’s impacts on the environment;</w:t>
      </w:r>
    </w:p>
    <w:p w:rsidR="00E543AC" w:rsidRPr="00E543AC" w:rsidRDefault="00E543AC" w:rsidP="00E543AC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543A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Providing a basis for benchmarking management, operational and environmental performance; </w:t>
      </w:r>
    </w:p>
    <w:p w:rsidR="00E543AC" w:rsidRPr="00E543AC" w:rsidRDefault="00E543AC" w:rsidP="00E543AC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543A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Provide identifying opportunities for improving efficiency of energy and resource usage; </w:t>
      </w:r>
    </w:p>
    <w:p w:rsidR="00E543AC" w:rsidRPr="00E543AC" w:rsidRDefault="00E543AC" w:rsidP="00E543AC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543A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Determining whether environmental objectives and targets are being met;</w:t>
      </w:r>
    </w:p>
    <w:p w:rsidR="00E543AC" w:rsidRPr="00E543AC" w:rsidRDefault="00E543AC" w:rsidP="00E543AC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543A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Demonstrating compliance with regulations; </w:t>
      </w:r>
    </w:p>
    <w:p w:rsidR="00E543AC" w:rsidRPr="00E543AC" w:rsidRDefault="00E543AC" w:rsidP="00E543AC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543A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Determining proper allocation of resources; </w:t>
      </w:r>
    </w:p>
    <w:p w:rsidR="00E543AC" w:rsidRPr="00E543AC" w:rsidRDefault="00E543AC" w:rsidP="00E543AC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543A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Increasing the awareness of employees; and </w:t>
      </w:r>
    </w:p>
    <w:p w:rsidR="00E543AC" w:rsidRDefault="00E543AC" w:rsidP="00E543AC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543A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Improving community and customer relations.</w:t>
      </w:r>
    </w:p>
    <w:p w:rsidR="00E543AC" w:rsidRPr="00E543AC" w:rsidRDefault="00E543AC" w:rsidP="00E543AC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543A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Describe the key steps in an EPE model </w:t>
      </w:r>
    </w:p>
    <w:p w:rsidR="00E543AC" w:rsidRPr="00E543AC" w:rsidRDefault="00E543AC" w:rsidP="00E543AC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543A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Explain the role of EPE in developing, maintaining and improving an EMS </w:t>
      </w:r>
    </w:p>
    <w:p w:rsidR="00E543AC" w:rsidRPr="00E543AC" w:rsidRDefault="00E543AC" w:rsidP="00E543AC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543A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Identify a range of performance indicators </w:t>
      </w:r>
    </w:p>
    <w:p w:rsidR="00E543AC" w:rsidRDefault="00E543AC" w:rsidP="00E543AC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543A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Select suitable indicators to track environmental performance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E543AC" w:rsidRDefault="00E543A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E543AC" w:rsidRDefault="00E543A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E543AC" w:rsidRDefault="00E543A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7EA4D94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E543AC" w:rsidRPr="00E543AC" w:rsidRDefault="00E543AC" w:rsidP="00E543AC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543A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Environmental Management System Representatives (EMRs),  Pollution Control Officers,  EMS Process Owners.</w:t>
      </w:r>
    </w:p>
    <w:p w:rsidR="00E543AC" w:rsidRPr="00E543AC" w:rsidRDefault="00E543AC" w:rsidP="00E543AC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543A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Those who are tasked to assess EMS implementation in their own companies or their suppliers.</w:t>
      </w:r>
    </w:p>
    <w:p w:rsidR="007867EC" w:rsidRPr="00B87DE0" w:rsidRDefault="00E543AC" w:rsidP="00E543AC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E543A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Environmental specialist and researchers.</w:t>
      </w:r>
      <w:r w:rsidR="007867EC" w:rsidRPr="00B87DE0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Purchasing and supply chain managersProject managers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P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182A024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F76EBD" w:rsidRPr="00F76EBD" w:rsidRDefault="00F76EBD" w:rsidP="00F76EBD">
      <w:pPr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  <w:lang w:eastAsia="en-MY"/>
        </w:rPr>
      </w:pPr>
      <w:r w:rsidRPr="00F76EBD"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  <w:lang w:eastAsia="en-MY"/>
        </w:rPr>
        <w:t>Day 1: Definition of Environmental Performance Evaluation (EPE) System</w:t>
      </w:r>
    </w:p>
    <w:p w:rsidR="00F76EBD" w:rsidRPr="00F76EBD" w:rsidRDefault="00F76EBD" w:rsidP="00F76EBD">
      <w:pPr>
        <w:rPr>
          <w:rFonts w:asciiTheme="majorBidi" w:eastAsia="Calibri" w:hAnsiTheme="majorBidi" w:cstheme="majorBidi"/>
          <w:b/>
          <w:bCs/>
          <w:noProof/>
          <w:color w:val="FF0000"/>
          <w:sz w:val="32"/>
          <w:szCs w:val="32"/>
          <w:lang w:eastAsia="en-MY"/>
        </w:rPr>
      </w:pP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  <w:t>ISO14031 and its relation to other standards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  <w:t>General Indicators for achieving specific targets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Compliance with laws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Benchmarking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Cleaner Production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Energy Efficiency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  <w:t>Analysis of enterprise activities and determination of potential impacts and risks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Definition of environmental policies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Suggestion of necessary actions and adjustments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 xml:space="preserve"> Predisposition of operating and monitoring procedures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Design related risks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Operation related risks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Disposal related risks</w:t>
      </w:r>
    </w:p>
    <w:p w:rsidR="00F76EBD" w:rsidRDefault="00F76EBD" w:rsidP="00F76EBD">
      <w:pPr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  <w:lang w:eastAsia="en-MY"/>
        </w:rPr>
      </w:pPr>
      <w:r w:rsidRPr="00F76EBD"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  <w:lang w:eastAsia="en-MY"/>
        </w:rPr>
        <w:lastRenderedPageBreak/>
        <w:t>Day 2: Management Performance Indicators (MPIs)</w:t>
      </w:r>
    </w:p>
    <w:p w:rsidR="00F76EBD" w:rsidRPr="00F76EBD" w:rsidRDefault="00F76EBD" w:rsidP="00F76EBD">
      <w:pPr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  <w:lang w:eastAsia="en-MY"/>
        </w:rPr>
      </w:pP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  <w:t>Management commitment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Organization of environmental department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Budget allocation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Incentives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Construction of reporting systems integrated with managerial direction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  <w:t>Environmental policy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 xml:space="preserve">Objectives and targets 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 xml:space="preserve">Preventive and corrective actions 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 xml:space="preserve">Emergency procedures 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 xml:space="preserve">Training 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Document control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Continuous improvement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Contractor specifications and selection criteria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  <w:t>Self monitoring plan – Monitoring Potential Risks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Monitoring health and safety - Health and Safety Plan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Monitoring Emissions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Monitoring Hazardous materials and wastes</w:t>
      </w:r>
    </w:p>
    <w:p w:rsidR="00F76EBD" w:rsidRPr="00F76EBD" w:rsidRDefault="00F76EBD" w:rsidP="00F76EBD">
      <w:pPr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  <w:lang w:eastAsia="en-MY"/>
        </w:rPr>
      </w:pPr>
      <w:r w:rsidRPr="00F76EBD"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  <w:lang w:eastAsia="en-MY"/>
        </w:rPr>
        <w:t>Day 3 Operation Performance Indicators (OPIs)</w:t>
      </w:r>
    </w:p>
    <w:p w:rsidR="00F76EBD" w:rsidRPr="00F76EBD" w:rsidRDefault="00F76EBD" w:rsidP="00F76EBD">
      <w:pPr>
        <w:rPr>
          <w:rFonts w:asciiTheme="majorBidi" w:eastAsia="Calibr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</w:pP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  <w:t>Resource consumption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 xml:space="preserve">Materials 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Energy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Water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  <w:t>Efficiency of operation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Operation control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Maintenance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BAT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  <w:t>Sustainability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lastRenderedPageBreak/>
        <w:t>Sustainable inputs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Cleaner production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Waste reduction, recycling and reuse</w:t>
      </w:r>
    </w:p>
    <w:p w:rsidR="00F76EBD" w:rsidRPr="00F76EBD" w:rsidRDefault="00F76EBD" w:rsidP="00F76EBD">
      <w:pPr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  <w:lang w:eastAsia="en-MY"/>
        </w:rPr>
      </w:pPr>
      <w:r w:rsidRPr="00F76EBD"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  <w:lang w:eastAsia="en-MY"/>
        </w:rPr>
        <w:t>Day 4 Environmental Conditions Indicators (ECIs)</w:t>
      </w:r>
    </w:p>
    <w:p w:rsidR="00F76EBD" w:rsidRPr="00F76EBD" w:rsidRDefault="00F76EBD" w:rsidP="00F76EBD">
      <w:pPr>
        <w:rPr>
          <w:rFonts w:asciiTheme="majorBidi" w:eastAsia="Calibr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</w:pP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  <w:t>Global warming potential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Fuel  and electricity consumption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Use of emission factors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Emission of GHGs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LCA approach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  <w:t>Emissions to air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 xml:space="preserve">Main pollutants 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Sensitivity of location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  <w:t>Wastes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Type of waste Hazardous/non-hazardous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Recycling/re-use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noProof/>
          <w:color w:val="000000" w:themeColor="text1"/>
          <w:sz w:val="32"/>
          <w:szCs w:val="32"/>
          <w:lang w:eastAsia="en-MY"/>
        </w:rPr>
        <w:t>Management, treatment and disposal</w:t>
      </w:r>
    </w:p>
    <w:p w:rsidR="00F76EBD" w:rsidRDefault="00F76EBD" w:rsidP="00F76EBD">
      <w:pPr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  <w:lang w:eastAsia="en-MY"/>
        </w:rPr>
      </w:pPr>
      <w:r w:rsidRPr="00F76EBD"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  <w:lang w:eastAsia="en-MY"/>
        </w:rPr>
        <w:t>Day 5</w:t>
      </w:r>
    </w:p>
    <w:p w:rsidR="00F76EBD" w:rsidRPr="00F76EBD" w:rsidRDefault="00F76EBD" w:rsidP="00F76EBD">
      <w:pPr>
        <w:rPr>
          <w:rFonts w:asciiTheme="majorBidi" w:eastAsia="Calibri" w:hAnsiTheme="majorBidi" w:cstheme="majorBidi"/>
          <w:b/>
          <w:bCs/>
          <w:noProof/>
          <w:color w:val="C00000"/>
          <w:sz w:val="32"/>
          <w:szCs w:val="32"/>
          <w:lang w:eastAsia="en-MY"/>
        </w:rPr>
      </w:pP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  <w:t>1-Benefits or positive effects with improved environmental performance</w:t>
      </w:r>
    </w:p>
    <w:p w:rsidR="00F76EBD" w:rsidRPr="00F76EBD" w:rsidRDefault="00F76EBD" w:rsidP="00F76EB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</w:pPr>
      <w:r w:rsidRPr="00F76EBD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eastAsia="en-MY"/>
        </w:rPr>
        <w:t xml:space="preserve"> 2- Case Study - Development of Environmental Performance Indicators</w:t>
      </w:r>
    </w:p>
    <w:p w:rsidR="00A21560" w:rsidRPr="00DA34CF" w:rsidRDefault="007867EC" w:rsidP="00A2156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 </w:t>
      </w:r>
      <w:r w:rsidR="00A21560"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Practical skills in designing financial models using Excel</w:t>
      </w:r>
    </w:p>
    <w:p w:rsidR="00A21560" w:rsidRPr="00DA34CF" w:rsidRDefault="00A21560" w:rsidP="00A2156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design of financial models for forecasting and decision-making</w:t>
      </w:r>
    </w:p>
    <w:p w:rsidR="00792095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F76EBD" w:rsidRDefault="00F76EBD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F76EBD" w:rsidRDefault="00F76EBD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F76EBD" w:rsidRPr="00A21560" w:rsidRDefault="00F76EBD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lastRenderedPageBreak/>
        <w:t>The Feature Of Asia Master Training And Development Center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4B243EA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F76EBD" w:rsidRDefault="00F76EBD" w:rsidP="00F76EBD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F76EBD" w:rsidRDefault="00F76EBD" w:rsidP="00F76EBD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F76EBD" w:rsidRDefault="00F76EBD" w:rsidP="00F76EBD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F76EBD" w:rsidRDefault="00F76EBD" w:rsidP="00F76EBD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F76EBD" w:rsidRDefault="00F76EBD" w:rsidP="00F76EBD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F76EBD" w:rsidRDefault="00F76EBD" w:rsidP="00F76EBD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F76EBD" w:rsidRDefault="00F76EBD" w:rsidP="00F76EBD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F76EBD" w:rsidRDefault="00F76EBD" w:rsidP="00F76EBD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p w:rsidR="00F76EBD" w:rsidRDefault="00F76EBD">
      <w:pPr>
        <w:widowControl/>
        <w:autoSpaceDE/>
        <w:autoSpaceDN/>
        <w:adjustRightInd/>
        <w:spacing w:after="160" w:line="259" w:lineRule="auto"/>
      </w:pPr>
    </w:p>
    <w:p w:rsidR="00F76EBD" w:rsidRDefault="00F76EBD">
      <w:pPr>
        <w:widowControl/>
        <w:autoSpaceDE/>
        <w:autoSpaceDN/>
        <w:adjustRightInd/>
        <w:spacing w:after="160" w:line="259" w:lineRule="auto"/>
      </w:pPr>
    </w:p>
    <w:p w:rsidR="00F76EBD" w:rsidRDefault="00F76EBD">
      <w:pPr>
        <w:widowControl/>
        <w:autoSpaceDE/>
        <w:autoSpaceDN/>
        <w:adjustRightInd/>
        <w:spacing w:after="160" w:line="259" w:lineRule="auto"/>
      </w:pPr>
    </w:p>
    <w:p w:rsidR="00F76EBD" w:rsidRDefault="00F76EBD">
      <w:pPr>
        <w:widowControl/>
        <w:autoSpaceDE/>
        <w:autoSpaceDN/>
        <w:adjustRightInd/>
        <w:spacing w:after="160" w:line="259" w:lineRule="auto"/>
      </w:pPr>
    </w:p>
    <w:p w:rsidR="00F76EBD" w:rsidRDefault="00F76EBD">
      <w:pPr>
        <w:widowControl/>
        <w:autoSpaceDE/>
        <w:autoSpaceDN/>
        <w:adjustRightInd/>
        <w:spacing w:after="160" w:line="259" w:lineRule="auto"/>
      </w:pPr>
    </w:p>
    <w:p w:rsidR="00F76EBD" w:rsidRDefault="00F76EBD">
      <w:pPr>
        <w:widowControl/>
        <w:autoSpaceDE/>
        <w:autoSpaceDN/>
        <w:adjustRightInd/>
        <w:spacing w:after="160" w:line="259" w:lineRule="auto"/>
      </w:pPr>
    </w:p>
    <w:p w:rsidR="00F76EBD" w:rsidRDefault="00F76EBD">
      <w:pPr>
        <w:widowControl/>
        <w:autoSpaceDE/>
        <w:autoSpaceDN/>
        <w:adjustRightInd/>
        <w:spacing w:after="160" w:line="259" w:lineRule="auto"/>
      </w:pPr>
    </w:p>
    <w:p w:rsidR="00F76EBD" w:rsidRDefault="00F76EBD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</w:pPr>
    </w:p>
    <w:p w:rsidR="00F76EBD" w:rsidRDefault="00F76EBD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AF" w:rsidRDefault="008D74AF" w:rsidP="00167E09">
      <w:r>
        <w:separator/>
      </w:r>
    </w:p>
  </w:endnote>
  <w:endnote w:type="continuationSeparator" w:id="0">
    <w:p w:rsidR="008D74AF" w:rsidRDefault="008D74AF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9D" w:rsidRDefault="000048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9D" w:rsidRPr="0000489D" w:rsidRDefault="0000489D" w:rsidP="0000489D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00489D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00489D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00489D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Default="0000489D" w:rsidP="0000489D">
    <w:pPr>
      <w:pStyle w:val="Footer"/>
      <w:bidi/>
      <w:jc w:val="center"/>
    </w:pPr>
    <w:r w:rsidRPr="0000489D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00489D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00489D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00489D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  <w:r w:rsidR="007D2292" w:rsidRPr="000C1A8E">
      <w:rPr>
        <w:rFonts w:ascii="Calibri" w:eastAsia="Calibri" w:hAnsi="Calibri" w:cs="Arial"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BF7918" wp14:editId="22957F03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9FFDE41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3C4535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366224" wp14:editId="2D5FE6EE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F91CEFE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9D" w:rsidRPr="0000489D" w:rsidRDefault="0000489D" w:rsidP="0000489D">
    <w:pPr>
      <w:pStyle w:val="Footer"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bookmarkStart w:id="0" w:name="_GoBack"/>
    <w:bookmarkEnd w:id="0"/>
    <w:r w:rsidRPr="0000489D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00489D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00489D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00489D" w:rsidRDefault="0000489D" w:rsidP="0000489D">
    <w:pPr>
      <w:pStyle w:val="Footer"/>
      <w:jc w:val="center"/>
      <w:rPr>
        <w:rFonts w:eastAsia="Calibri"/>
      </w:rPr>
    </w:pPr>
    <w:r w:rsidRPr="0000489D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00489D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00489D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00489D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AF" w:rsidRDefault="008D74AF" w:rsidP="00167E09">
      <w:r>
        <w:separator/>
      </w:r>
    </w:p>
  </w:footnote>
  <w:footnote w:type="continuationSeparator" w:id="0">
    <w:p w:rsidR="008D74AF" w:rsidRDefault="008D74AF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9D" w:rsidRDefault="000048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1814830</wp:posOffset>
          </wp:positionH>
          <wp:positionV relativeFrom="margin">
            <wp:posOffset>-1421130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E426B0"/>
    <w:multiLevelType w:val="hybridMultilevel"/>
    <w:tmpl w:val="D8DE5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033942"/>
    <w:multiLevelType w:val="hybridMultilevel"/>
    <w:tmpl w:val="E0E40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23F17"/>
    <w:multiLevelType w:val="hybridMultilevel"/>
    <w:tmpl w:val="3E522A38"/>
    <w:lvl w:ilvl="0" w:tplc="92C03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8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FB3F03"/>
    <w:multiLevelType w:val="hybridMultilevel"/>
    <w:tmpl w:val="0D8055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812BC5"/>
    <w:multiLevelType w:val="hybridMultilevel"/>
    <w:tmpl w:val="A1CC7B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8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A61192"/>
    <w:multiLevelType w:val="hybridMultilevel"/>
    <w:tmpl w:val="E0E40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A143FA"/>
    <w:multiLevelType w:val="hybridMultilevel"/>
    <w:tmpl w:val="3E522A38"/>
    <w:lvl w:ilvl="0" w:tplc="92C03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7"/>
  </w:num>
  <w:num w:numId="5">
    <w:abstractNumId w:val="18"/>
  </w:num>
  <w:num w:numId="6">
    <w:abstractNumId w:val="9"/>
  </w:num>
  <w:num w:numId="7">
    <w:abstractNumId w:val="13"/>
  </w:num>
  <w:num w:numId="8">
    <w:abstractNumId w:val="24"/>
  </w:num>
  <w:num w:numId="9">
    <w:abstractNumId w:val="27"/>
  </w:num>
  <w:num w:numId="10">
    <w:abstractNumId w:val="25"/>
  </w:num>
  <w:num w:numId="11">
    <w:abstractNumId w:val="32"/>
  </w:num>
  <w:num w:numId="12">
    <w:abstractNumId w:val="5"/>
  </w:num>
  <w:num w:numId="13">
    <w:abstractNumId w:val="20"/>
  </w:num>
  <w:num w:numId="14">
    <w:abstractNumId w:val="26"/>
  </w:num>
  <w:num w:numId="15">
    <w:abstractNumId w:val="34"/>
  </w:num>
  <w:num w:numId="16">
    <w:abstractNumId w:val="30"/>
  </w:num>
  <w:num w:numId="17">
    <w:abstractNumId w:val="4"/>
  </w:num>
  <w:num w:numId="18">
    <w:abstractNumId w:val="10"/>
  </w:num>
  <w:num w:numId="19">
    <w:abstractNumId w:val="0"/>
  </w:num>
  <w:num w:numId="20">
    <w:abstractNumId w:val="3"/>
  </w:num>
  <w:num w:numId="21">
    <w:abstractNumId w:val="17"/>
  </w:num>
  <w:num w:numId="22">
    <w:abstractNumId w:val="8"/>
  </w:num>
  <w:num w:numId="23">
    <w:abstractNumId w:val="11"/>
  </w:num>
  <w:num w:numId="24">
    <w:abstractNumId w:val="36"/>
  </w:num>
  <w:num w:numId="25">
    <w:abstractNumId w:val="23"/>
  </w:num>
  <w:num w:numId="26">
    <w:abstractNumId w:val="28"/>
  </w:num>
  <w:num w:numId="27">
    <w:abstractNumId w:val="16"/>
  </w:num>
  <w:num w:numId="28">
    <w:abstractNumId w:val="21"/>
  </w:num>
  <w:num w:numId="29">
    <w:abstractNumId w:val="31"/>
  </w:num>
  <w:num w:numId="30">
    <w:abstractNumId w:val="33"/>
  </w:num>
  <w:num w:numId="31">
    <w:abstractNumId w:val="29"/>
  </w:num>
  <w:num w:numId="32">
    <w:abstractNumId w:val="6"/>
  </w:num>
  <w:num w:numId="33">
    <w:abstractNumId w:val="22"/>
  </w:num>
  <w:num w:numId="34">
    <w:abstractNumId w:val="1"/>
  </w:num>
  <w:num w:numId="35">
    <w:abstractNumId w:val="12"/>
  </w:num>
  <w:num w:numId="36">
    <w:abstractNumId w:val="3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489D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F103C"/>
    <w:rsid w:val="002033E2"/>
    <w:rsid w:val="0022310D"/>
    <w:rsid w:val="00225FD5"/>
    <w:rsid w:val="00226A4C"/>
    <w:rsid w:val="00281029"/>
    <w:rsid w:val="00294227"/>
    <w:rsid w:val="002A6CCC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3C6C54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826CE"/>
    <w:rsid w:val="00583D19"/>
    <w:rsid w:val="00591091"/>
    <w:rsid w:val="005E725E"/>
    <w:rsid w:val="00603609"/>
    <w:rsid w:val="00633D40"/>
    <w:rsid w:val="00673528"/>
    <w:rsid w:val="006909BF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D74AF"/>
    <w:rsid w:val="008E1E58"/>
    <w:rsid w:val="00905FB2"/>
    <w:rsid w:val="00912714"/>
    <w:rsid w:val="009449A5"/>
    <w:rsid w:val="00952978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87DE0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3FCB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543AC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76EBD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05889-6451-4459-8A59-61857140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5</cp:revision>
  <cp:lastPrinted>2018-07-26T06:43:00Z</cp:lastPrinted>
  <dcterms:created xsi:type="dcterms:W3CDTF">2018-07-24T04:42:00Z</dcterms:created>
  <dcterms:modified xsi:type="dcterms:W3CDTF">2018-07-26T06:43:00Z</dcterms:modified>
</cp:coreProperties>
</file>