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A6" w:rsidRDefault="00F96CA6" w:rsidP="00F96CA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F96CA6" w:rsidRPr="00F96CA6" w:rsidRDefault="00F96CA6" w:rsidP="00F96CA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F96CA6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Oil &amp; Gas Accounting &amp; Performance Measurement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F96CA6" w:rsidRDefault="00F96CA6" w:rsidP="00F96CA6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F96CA6" w:rsidRPr="00F96CA6" w:rsidRDefault="00F96CA6" w:rsidP="00F96CA6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F96CA6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Oil &amp; Gas Accounting &amp; Performance Measurement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75BD6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5CA19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36BF36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AC771D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A15EF2">
        <w:lastRenderedPageBreak/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  <w:r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680085</wp:posOffset>
                </wp:positionH>
                <wp:positionV relativeFrom="paragraph">
                  <wp:posOffset>124460</wp:posOffset>
                </wp:positionV>
                <wp:extent cx="4139565" cy="87185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87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6CA6" w:rsidRPr="00F96CA6" w:rsidRDefault="00F96CA6" w:rsidP="00F96CA6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96CA6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Oil &amp; Gas Accounting &amp; Performance Measurement</w:t>
                            </w:r>
                          </w:p>
                          <w:p w:rsidR="008360A2" w:rsidRPr="00F96CA6" w:rsidRDefault="008360A2" w:rsidP="008360A2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55pt;margin-top:9.8pt;width:325.95pt;height:6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" filled="f">
                <v:stroke opacity="0"/>
                <v:textbox>
                  <w:txbxContent>
                    <w:p w:rsidR="00F96CA6" w:rsidRPr="00F96CA6" w:rsidRDefault="00F96CA6" w:rsidP="00F96CA6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F96CA6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Oil &amp; Gas Accounting &amp; Performance Measurement</w:t>
                      </w:r>
                    </w:p>
                    <w:p w:rsidR="008360A2" w:rsidRPr="00F96CA6" w:rsidRDefault="008360A2" w:rsidP="008360A2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5C1F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Evaluate the Major Issues facing the Oil &amp; Gas sector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Prepare Financial Statements in accordance with International Financial Reporting Standards (IFRS)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Evaluate the Financial and Operational Performance of international Oil &amp; Gas companies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Evaluate the importance and contribution of Oil &amp; Gas to the National Governments and the Fiscal Budget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Recommend Strategic Plans to Improve Performance</w:t>
      </w:r>
    </w:p>
    <w:p w:rsidR="007867EC" w:rsidRPr="00F96CA6" w:rsidRDefault="00F96CA6" w:rsidP="00F96CA6">
      <w:pPr>
        <w:widowControl/>
        <w:shd w:val="clear" w:color="auto" w:fill="FFFFFF"/>
        <w:autoSpaceDE/>
        <w:autoSpaceDN/>
        <w:adjustRightInd/>
        <w:spacing w:after="450"/>
        <w:rPr>
          <w:rFonts w:ascii="Open Sans" w:hAnsi="Open Sans"/>
          <w:color w:val="555555"/>
          <w:sz w:val="21"/>
          <w:szCs w:val="21"/>
          <w:lang w:val="en-MY" w:eastAsia="en-MY"/>
        </w:rPr>
      </w:pPr>
      <w:r w:rsidRPr="00F96CA6">
        <w:rPr>
          <w:rFonts w:ascii="Open Sans" w:hAnsi="Open Sans"/>
          <w:color w:val="555555"/>
          <w:sz w:val="21"/>
          <w:szCs w:val="21"/>
          <w:lang w:val="en-MY" w:eastAsia="en-MY"/>
        </w:rPr>
        <w:t> </w:t>
      </w: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74B620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Corporate Accountants, Financial Controllers, Treasury Officers, Management Accountants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Finance Staff in General Accounting, Payables, Receivables, Inventory, Fixed Assets, etc.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Joint Venture Accountants and Auditors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External, Financial and Internal Auditors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Government Regulators and Auditors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Financial and Investment Analysts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628B98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1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The Oil &amp; Gas Sector – Identifying the Issues affecting Accounting &amp; Performance Measurement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Latest Events in the Oil &amp; Gas sector- price volatility and supply &amp; demand changes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Managing the macro-economic factors, e.g. interest rates, exchange rates, oil prices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Resources &amp; Reserves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Strategic Choices currently facing the sector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Capital Investment Issues</w:t>
      </w:r>
    </w:p>
    <w:p w:rsid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Performance across the Sector</w:t>
      </w:r>
    </w:p>
    <w:p w:rsidR="00F96CA6" w:rsidRP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2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Major Accounting Issues in the Oil &amp; Gas Sector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Revenue Recognition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Costs in Acquisition, Exploration, Development and Production of new oil or natural gas reserves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Break Even Oil, Cost Oil &amp; Profit Oil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Accounting Approaches – The “Successful Efforts” (SE) Method or the “Full Cost” (FC) Method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IFRS in relation to the Oil &amp; Gas Sector</w:t>
      </w:r>
    </w:p>
    <w:p w:rsid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IFRS 6: Exploration for and Evaluation of Mineral Assets</w:t>
      </w: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P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lastRenderedPageBreak/>
        <w:t>DAY 3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Accounting for Assets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IAS 16: Property, Plant and Equipment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Depletion, Depreciation &amp; Amortisation (“DD&amp;A”)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IAS 36: Impairment of Assets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IAS 37: Provisions, Contingent Liabilities and Contingent Assets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IAS 38: Intangible Assets</w:t>
      </w:r>
    </w:p>
    <w:p w:rsid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IAS 39 &amp; IFRS 9 Financial Instruments: Recognition and Measurement</w:t>
      </w:r>
    </w:p>
    <w:p w:rsidR="00F96CA6" w:rsidRP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4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Measuring Financial Performance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Cross Sectional &amp; Time Series Analysis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Financial Analysis: Income Statements &amp; The Statement of Financial Position (Balance Sheet) Analysis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Cashflow Analysis and its importance in the Oil &amp; Gas sector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Dupont Analysis – Evaluating and Improving Return on Equity (ROE)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Evaluation of Share Price and Investment Performance</w:t>
      </w:r>
    </w:p>
    <w:p w:rsid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Evaluating the Financial Performance of leading international companies in the sector</w:t>
      </w: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P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5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Measuring Operational &amp; National/Government Efficiency and Performance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Measuring Reserves – Life; Reserves per Well; Replacement Ratio etc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Finding; Development &amp; Production Capability &amp; Efficiency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Evaluating the Operational Performance of leading international companies in the sector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Earned Value Added Analysis of Projects</w:t>
      </w:r>
    </w:p>
    <w:p w:rsidR="00F96CA6" w:rsidRP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Evaluating the Fiscal Budgets of Oil &amp; Gas producing countries</w:t>
      </w:r>
    </w:p>
    <w:p w:rsidR="00F96CA6" w:rsidRDefault="00F96CA6" w:rsidP="00F96CA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F96CA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National/Government Measures of Efficiency &amp; Performance</w:t>
      </w: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F96CA6" w:rsidRPr="00F96CA6" w:rsidRDefault="00F96CA6" w:rsidP="00F96CA6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11BA11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2D" w:rsidRDefault="008D532D" w:rsidP="00167E09">
      <w:r>
        <w:separator/>
      </w:r>
    </w:p>
  </w:endnote>
  <w:endnote w:type="continuationSeparator" w:id="0">
    <w:p w:rsidR="008D532D" w:rsidRDefault="008D532D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8A" w:rsidRPr="000A138A" w:rsidRDefault="000A138A" w:rsidP="000A138A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0A138A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0A138A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0A138A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0A138A" w:rsidRDefault="000A138A" w:rsidP="000A138A">
    <w:pPr>
      <w:pStyle w:val="Footer"/>
      <w:jc w:val="center"/>
      <w:rPr>
        <w:b/>
        <w:bCs/>
      </w:rPr>
    </w:pPr>
    <w:r w:rsidRPr="000A138A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0A138A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0A138A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0A138A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8A" w:rsidRPr="000A138A" w:rsidRDefault="000A138A" w:rsidP="000A138A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0A138A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0A138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0A138A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0A138A" w:rsidRDefault="000A138A" w:rsidP="000A138A">
    <w:pPr>
      <w:pStyle w:val="Footer"/>
      <w:jc w:val="center"/>
      <w:rPr>
        <w:rFonts w:eastAsia="Calibri"/>
        <w:b/>
        <w:bCs/>
      </w:rPr>
    </w:pPr>
    <w:r w:rsidRPr="000A138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0A138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0A138A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0A138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2D" w:rsidRDefault="008D532D" w:rsidP="00167E09">
      <w:r>
        <w:separator/>
      </w:r>
    </w:p>
  </w:footnote>
  <w:footnote w:type="continuationSeparator" w:id="0">
    <w:p w:rsidR="008D532D" w:rsidRDefault="008D532D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C92883"/>
    <w:multiLevelType w:val="multilevel"/>
    <w:tmpl w:val="B02E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95690F"/>
    <w:multiLevelType w:val="multilevel"/>
    <w:tmpl w:val="5742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732663"/>
    <w:multiLevelType w:val="multilevel"/>
    <w:tmpl w:val="CC54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F36FD2"/>
    <w:multiLevelType w:val="multilevel"/>
    <w:tmpl w:val="376E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67CD9"/>
    <w:multiLevelType w:val="multilevel"/>
    <w:tmpl w:val="BD5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B2A62"/>
    <w:multiLevelType w:val="multilevel"/>
    <w:tmpl w:val="70E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1186E"/>
    <w:multiLevelType w:val="multilevel"/>
    <w:tmpl w:val="C582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0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6"/>
  </w:num>
  <w:num w:numId="5">
    <w:abstractNumId w:val="17"/>
  </w:num>
  <w:num w:numId="6">
    <w:abstractNumId w:val="8"/>
  </w:num>
  <w:num w:numId="7">
    <w:abstractNumId w:val="11"/>
  </w:num>
  <w:num w:numId="8">
    <w:abstractNumId w:val="25"/>
  </w:num>
  <w:num w:numId="9">
    <w:abstractNumId w:val="29"/>
  </w:num>
  <w:num w:numId="10">
    <w:abstractNumId w:val="26"/>
  </w:num>
  <w:num w:numId="11">
    <w:abstractNumId w:val="33"/>
  </w:num>
  <w:num w:numId="12">
    <w:abstractNumId w:val="5"/>
  </w:num>
  <w:num w:numId="13">
    <w:abstractNumId w:val="20"/>
  </w:num>
  <w:num w:numId="14">
    <w:abstractNumId w:val="27"/>
  </w:num>
  <w:num w:numId="15">
    <w:abstractNumId w:val="35"/>
  </w:num>
  <w:num w:numId="16">
    <w:abstractNumId w:val="31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 w:numId="22">
    <w:abstractNumId w:val="7"/>
  </w:num>
  <w:num w:numId="23">
    <w:abstractNumId w:val="10"/>
  </w:num>
  <w:num w:numId="24">
    <w:abstractNumId w:val="36"/>
  </w:num>
  <w:num w:numId="25">
    <w:abstractNumId w:val="23"/>
  </w:num>
  <w:num w:numId="26">
    <w:abstractNumId w:val="30"/>
  </w:num>
  <w:num w:numId="27">
    <w:abstractNumId w:val="15"/>
  </w:num>
  <w:num w:numId="28">
    <w:abstractNumId w:val="22"/>
  </w:num>
  <w:num w:numId="29">
    <w:abstractNumId w:val="32"/>
  </w:num>
  <w:num w:numId="30">
    <w:abstractNumId w:val="34"/>
  </w:num>
  <w:num w:numId="31">
    <w:abstractNumId w:val="13"/>
  </w:num>
  <w:num w:numId="32">
    <w:abstractNumId w:val="2"/>
  </w:num>
  <w:num w:numId="33">
    <w:abstractNumId w:val="4"/>
  </w:num>
  <w:num w:numId="34">
    <w:abstractNumId w:val="24"/>
  </w:num>
  <w:num w:numId="35">
    <w:abstractNumId w:val="19"/>
  </w:num>
  <w:num w:numId="36">
    <w:abstractNumId w:val="2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138A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24975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D532D"/>
    <w:rsid w:val="008E1E58"/>
    <w:rsid w:val="00905FB2"/>
    <w:rsid w:val="00912714"/>
    <w:rsid w:val="009449A5"/>
    <w:rsid w:val="00952978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6CA6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96CA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96CA6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F96C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6CA6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96CA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96CA6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F96C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6CA6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23F1-6233-4F2F-912A-7DA244BA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22</cp:revision>
  <cp:lastPrinted>2018-07-29T02:40:00Z</cp:lastPrinted>
  <dcterms:created xsi:type="dcterms:W3CDTF">2018-02-22T04:45:00Z</dcterms:created>
  <dcterms:modified xsi:type="dcterms:W3CDTF">2018-07-29T02:40:00Z</dcterms:modified>
</cp:coreProperties>
</file>